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Апрель 2023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2041"/>
        <w:gridCol w:w="2332"/>
        <w:gridCol w:w="870"/>
        <w:gridCol w:w="955"/>
        <w:gridCol w:w="1905"/>
        <w:gridCol w:w="1252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 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 ( в соответствии с утвержденной по региону «Дорожной картой» 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апрель 2023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 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 Рост заработной платы к уровню 2022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70100,0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67952,38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71830,50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102,5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+ 3878,12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35050,0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32467,50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35052,76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+ 2585,26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35050,0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32900,01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35050,00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+ 2149,99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35597,63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37663,34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+ 2065,71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2024-12-25T10:04:14Z</dcterms:modified>
</cp:coreProperties>
</file>