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Июнь 2024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11"/>
        <w:gridCol w:w="2945"/>
        <w:gridCol w:w="1009"/>
        <w:gridCol w:w="1131"/>
        <w:gridCol w:w="1581"/>
        <w:gridCol w:w="1277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4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2023 год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июнь 2024 года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2023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4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76793,40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72210,11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84436,01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109,9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+ 12225,90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4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38396,70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35344,26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38478,3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+ 3134,04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4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38396,70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35343,0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39243,04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102,2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+ 3900,04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4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37882,59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42546,34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+ 4663,75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2024-12-25T10:21:38Z</dcterms:modified>
</cp:coreProperties>
</file>