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На февраль 2022 года</w:t>
      </w:r>
      <w:r/>
      <w:r>
        <w:rPr>
          <w:rFonts w:ascii="Verdana" w:hAnsi="Verdana" w:eastAsia="Verdana" w:cs="Verdana"/>
          <w:color w:val="000000"/>
          <w:sz w:val="17"/>
        </w:rPr>
      </w:r>
      <w:r/>
      <w:r>
        <w:rPr>
          <w:rFonts w:ascii="Verdana" w:hAnsi="Verdana" w:eastAsia="Verdana" w:cs="Verdana"/>
          <w:sz w:val="36"/>
        </w:rPr>
      </w:r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5"/>
        <w:gridCol w:w="2971"/>
        <w:gridCol w:w="972"/>
        <w:gridCol w:w="1124"/>
        <w:gridCol w:w="1590"/>
        <w:gridCol w:w="1282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2021.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февраль 2022.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2021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60692,0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63566,52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64113,96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105,6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+ 547,44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29135,97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32181,1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+ 3045,13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29529,77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30356,39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+ 826,62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32461,72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35424,12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+ 2962,4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2024-12-25T09:53:01Z</dcterms:modified>
</cp:coreProperties>
</file>