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Декабрь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23"/>
        <w:gridCol w:w="3080"/>
        <w:gridCol w:w="985"/>
        <w:gridCol w:w="1150"/>
        <w:gridCol w:w="1575"/>
        <w:gridCol w:w="12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за декабрь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70686,0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+ 4257,73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+ 2876,76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+ 2442,99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+ 2284,96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2024-12-25T10:32:39Z</dcterms:modified>
</cp:coreProperties>
</file>