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Сентябрь 2023 года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322"/>
        <w:gridCol w:w="3070"/>
        <w:gridCol w:w="983"/>
        <w:gridCol w:w="1160"/>
        <w:gridCol w:w="1572"/>
        <w:gridCol w:w="1248"/>
      </w:tblGrid>
      <w:tr>
        <w:trPr>
          <w:trHeight w:val="786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Средняя зарплата 2022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Средняя зарплата за сентябрь 2023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Рост заработной платы к уровню 2022 года</w:t>
            </w:r>
            <w:r/>
          </w:p>
        </w:tc>
      </w:tr>
      <w:tr>
        <w:trPr>
          <w:trHeight w:val="195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70452,6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67952,38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71994,54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102,2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+ 4042,16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35226,3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32467,50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35226,3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+ 2758,80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35226,3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32900,01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35226,3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+ 2326,29</w:t>
            </w:r>
            <w:r/>
          </w:p>
        </w:tc>
      </w:tr>
      <w:tr>
        <w:trPr>
          <w:trHeight w:val="390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35597,63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37825,57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+ 2227,94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2024-12-25T09:58:29Z</dcterms:modified>
</cp:coreProperties>
</file>