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Июль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49"/>
        <w:gridCol w:w="2925"/>
        <w:gridCol w:w="1002"/>
        <w:gridCol w:w="1122"/>
        <w:gridCol w:w="1574"/>
        <w:gridCol w:w="1282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 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  ( в соответствии с утвержденной по региону «Дорожной картой» 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июль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 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 Рост заработной платы к уровню 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90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86984,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    110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4774,0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95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95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 + 4155,7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95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9547,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 + 4204,2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3467,8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 + 5585,22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18:57Z</dcterms:modified>
</cp:coreProperties>
</file>